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lang w:val="en-GB"/>
        </w:rPr>
      </w:pPr>
      <w:r>
        <w:rPr>
          <w:lang w:val="en-GB"/>
        </w:rPr>
        <w:t>Emotional Spending Workbook</w:t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  <w:t>This workbook is designed to help you understand and manage emotional spending. By tracking your moods, triggers, and spending habits, you can begin to spot patterns and build a healthier relationship with money.</w:t>
      </w:r>
    </w:p>
    <w:p>
      <w:pPr>
        <w:pStyle w:val="Normal"/>
        <w:jc w:val="both"/>
        <w:rPr/>
      </w:pPr>
      <w:r>
        <w:rPr>
          <w:lang w:val="en-GB"/>
        </w:rPr>
        <w:t xml:space="preserve">(Checkout the full article at </w:t>
      </w:r>
      <w:hyperlink r:id="rId2">
        <w:r>
          <w:rPr>
            <w:rStyle w:val="Hyperlink"/>
            <w:lang w:val="en-GB"/>
          </w:rPr>
          <w:t>QuidSavvy.uk</w:t>
        </w:r>
      </w:hyperlink>
      <w:r>
        <w:rPr>
          <w:lang w:val="en-GB"/>
        </w:rPr>
        <w:t xml:space="preserve"> )</w:t>
      </w:r>
    </w:p>
    <w:p>
      <w:pPr>
        <w:pStyle w:val="Heading2"/>
        <w:rPr>
          <w:lang w:val="en-GB"/>
        </w:rPr>
      </w:pPr>
      <w:r>
        <w:rPr>
          <w:lang w:val="en-GB"/>
        </w:rPr>
        <w:t>1. Identifying Emotional Spending</w:t>
      </w:r>
    </w:p>
    <w:p>
      <w:pPr>
        <w:pStyle w:val="Normal"/>
        <w:rPr>
          <w:lang w:val="en-GB"/>
        </w:rPr>
      </w:pPr>
      <w:r>
        <w:rPr>
          <w:lang w:val="en-GB"/>
        </w:rPr>
        <w:t>Before you can change your spending habits, you need to identify when emotions play a part. Think about your recent purchases. Which ones were driven by feelings rather than need?</w:t>
      </w:r>
    </w:p>
    <w:tbl>
      <w:tblPr>
        <w:tblW w:w="864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What I Bought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How I Felt Before</w:t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How I Felt After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2"/>
        <w:rPr>
          <w:lang w:val="en-GB"/>
        </w:rPr>
      </w:pPr>
      <w:r>
        <w:rPr>
          <w:lang w:val="en-GB"/>
        </w:rPr>
        <w:t>2. Recognising Your Triggers</w:t>
      </w:r>
    </w:p>
    <w:p>
      <w:pPr>
        <w:pStyle w:val="Normal"/>
        <w:rPr>
          <w:lang w:val="en-GB"/>
        </w:rPr>
      </w:pPr>
      <w:r>
        <w:rPr>
          <w:lang w:val="en-GB"/>
        </w:rPr>
        <w:t>Look for emotional or situational triggers that make you more likely to spend. Use the checklist below to tick any that apply.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Feeling stressed or anxious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Feeling bored or lonely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Celebrating or rewarding yourself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Trying to impress others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Feeling low in confidence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Responding to online ads or sales notifications</w:t>
      </w:r>
    </w:p>
    <w:p>
      <w:pPr>
        <w:pStyle w:val="ListBulle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Using spending to distract from problems</w:t>
      </w:r>
    </w:p>
    <w:p>
      <w:pPr>
        <w:pStyle w:val="Heading2"/>
        <w:rPr>
          <w:lang w:val="en-GB"/>
        </w:rPr>
      </w:pPr>
      <w:r>
        <w:rPr>
          <w:lang w:val="en-GB"/>
        </w:rPr>
        <w:t>3. Reflection Questions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• </w:t>
      </w:r>
      <w:r>
        <w:rPr>
          <w:lang w:val="en-GB"/>
        </w:rPr>
        <w:t>When am I most likely to spend emotionally?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  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• </w:t>
      </w:r>
      <w:r>
        <w:rPr>
          <w:lang w:val="en-GB"/>
        </w:rPr>
        <w:t>What emotions am I usually trying to escape or enhance?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  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• </w:t>
      </w:r>
      <w:r>
        <w:rPr>
          <w:lang w:val="en-GB"/>
        </w:rPr>
        <w:t>How do I feel immediately after buying something emotionally?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  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• </w:t>
      </w:r>
      <w:r>
        <w:rPr>
          <w:lang w:val="en-GB"/>
        </w:rPr>
        <w:t>How do I feel about it a few days later?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  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• </w:t>
      </w:r>
      <w:r>
        <w:rPr>
          <w:lang w:val="en-GB"/>
        </w:rPr>
        <w:t>What non-spending activities help improve my mood instead?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                    </w:t>
      </w:r>
    </w:p>
    <w:p>
      <w:pPr>
        <w:pStyle w:val="Heading2"/>
        <w:rPr>
          <w:lang w:val="en-GB"/>
        </w:rPr>
      </w:pPr>
      <w:r>
        <w:rPr>
          <w:lang w:val="en-GB"/>
        </w:rPr>
        <w:t>4. My Action Plan</w:t>
      </w:r>
    </w:p>
    <w:p>
      <w:pPr>
        <w:pStyle w:val="Normal"/>
        <w:rPr>
          <w:lang w:val="en-GB"/>
        </w:rPr>
      </w:pPr>
      <w:r>
        <w:rPr>
          <w:lang w:val="en-GB"/>
        </w:rPr>
        <w:t>Use this space to write practical steps for reducing emotional spending. Think about your high-risk situations and the coping alternatives you can use.</w:t>
      </w:r>
    </w:p>
    <w:p>
      <w:pPr>
        <w:pStyle w:val="Normal"/>
        <w:rPr>
          <w:lang w:val="en-GB"/>
        </w:rPr>
      </w:pPr>
      <w:r>
        <w:rPr>
          <w:lang w:val="en-GB"/>
        </w:rPr>
        <w:t>Example: When I feel stressed after work, I’ll go for a walk instead of shopping online.</w:t>
      </w:r>
    </w:p>
    <w:p>
      <w:pPr>
        <w:pStyle w:val="Normal"/>
        <w:rPr>
          <w:lang w:val="en-GB"/>
        </w:rPr>
      </w:pPr>
      <w:r>
        <w:rPr>
          <w:lang w:val="en-GB"/>
        </w:rPr>
        <w:br/>
        <w:t>Action Steps: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___________________________________________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___________________________________________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___________________________________________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___________________________________________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☐ </w:t>
      </w:r>
      <w:r>
        <w:rPr>
          <w:lang w:val="en-GB"/>
        </w:rPr>
        <w:t>___________________________________________</w:t>
      </w:r>
    </w:p>
    <w:p>
      <w:pPr>
        <w:pStyle w:val="Heading2"/>
        <w:rPr>
          <w:lang w:val="en-GB"/>
        </w:rPr>
      </w:pPr>
      <w:r>
        <w:rPr>
          <w:lang w:val="en-GB"/>
        </w:rPr>
        <w:t>5. Weekly Progress Tracker</w:t>
      </w:r>
    </w:p>
    <w:p>
      <w:pPr>
        <w:pStyle w:val="Normal"/>
        <w:rPr>
          <w:lang w:val="en-GB"/>
        </w:rPr>
      </w:pPr>
      <w:r>
        <w:rPr>
          <w:lang w:val="en-GB"/>
        </w:rPr>
        <w:t>Track your spending awareness for one week. Tick the days where you successfully paused before a purchase.</w:t>
      </w:r>
    </w:p>
    <w:tbl>
      <w:tblPr>
        <w:tblW w:w="86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34"/>
        <w:gridCol w:w="1233"/>
        <w:gridCol w:w="1235"/>
        <w:gridCol w:w="1233"/>
        <w:gridCol w:w="1235"/>
        <w:gridCol w:w="1233"/>
        <w:gridCol w:w="1234"/>
      </w:tblGrid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Mon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Tue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Wed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Thu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Fri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Sat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Sun</w:t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</w:tr>
    </w:tbl>
    <w:p>
      <w:pPr>
        <w:pStyle w:val="Heading2"/>
        <w:rPr>
          <w:lang w:val="en-GB"/>
        </w:rPr>
      </w:pPr>
      <w:r>
        <w:rPr>
          <w:lang w:val="en-GB"/>
        </w:rPr>
        <w:t>6. Positive Reinforcement</w:t>
      </w:r>
    </w:p>
    <w:p>
      <w:pPr>
        <w:pStyle w:val="Normal"/>
        <w:rPr>
          <w:lang w:val="en-GB"/>
        </w:rPr>
      </w:pPr>
      <w:r>
        <w:rPr>
          <w:lang w:val="en-GB"/>
        </w:rPr>
        <w:t>Note your successes. Recognising progress, however small, builds motivation.</w:t>
      </w:r>
    </w:p>
    <w:p>
      <w:pPr>
        <w:pStyle w:val="Normal"/>
        <w:rPr>
          <w:lang w:val="en-GB"/>
        </w:rPr>
      </w:pPr>
      <w:r>
        <w:rPr>
          <w:lang w:val="en-GB"/>
        </w:rPr>
        <w:t>This week I’m proud that I: ___________________________</w:t>
      </w:r>
    </w:p>
    <w:p>
      <w:pPr>
        <w:pStyle w:val="Normal"/>
        <w:spacing w:before="0" w:after="200"/>
        <w:rPr>
          <w:lang w:val="en-GB"/>
        </w:rPr>
      </w:pPr>
      <w:r>
        <w:rPr>
          <w:sz w:val="24"/>
          <w:szCs w:val="24"/>
          <w:lang w:val="en-GB"/>
        </w:rPr>
        <w:t>Next week I’ll focus on: ___________________________</w:t>
      </w:r>
    </w:p>
    <w:sectPr>
      <w:footerReference w:type="default" r:id="rId3"/>
      <w:type w:val="nextPage"/>
      <w:pgSz w:w="11906" w:h="16838"/>
      <w:pgMar w:left="1800" w:right="1800" w:gutter="0" w:header="0" w:top="113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</w:rPr>
    </w:pPr>
    <w:r>
      <w:rPr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</w:rPr>
    </w:pPr>
    <w:r>
      <w:rPr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emotional-spending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2</TotalTime>
  <Application>LibreOffice/25.2.6.2$Windows_X86_64 LibreOffice_project/729c5bfe710f5eb71ed3bbde9e06a6065e9c6c5d</Application>
  <AppVersion>15.0000</AppVersion>
  <Pages>2</Pages>
  <Words>331</Words>
  <Characters>1833</Characters>
  <CharactersWithSpaces>2204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2025-11-09T15:29:16Z</dcterms:created>
  <dc:creator/>
  <dc:description>generated by python-docx</dc:description>
  <dc:language>en-GB</dc:language>
  <cp:lastModifiedBy/>
  <dcterms:modified xsi:type="dcterms:W3CDTF">2025-11-09T15:31:48Z</dcterms:modified>
  <cp:revision>2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