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>Quick-Start Savings Guide</w:t>
        <w:tab/>
        <w:tab/>
        <w:tab/>
        <w:tab/>
        <w:tab/>
      </w:r>
      <w:hyperlink r:id="rId2">
        <w:r>
          <w:rPr>
            <w:rStyle w:val="Hyperlink"/>
            <w:sz w:val="26"/>
          </w:rPr>
          <w:t>Full article here!</w:t>
        </w:r>
      </w:hyperlink>
    </w:p>
    <w:p>
      <w:pPr>
        <w:pStyle w:val="Normal"/>
        <w:rPr/>
      </w:pPr>
      <w:r>
        <w:rPr/>
        <w:t>This guide is designed to help you start saving money immediately, even if you're on a tight budget. The key is consistency, not perfection. Use this guide to break savings into small, achievable steps and track your progress.</w:t>
      </w:r>
    </w:p>
    <w:p>
      <w:pPr>
        <w:pStyle w:val="Heading2"/>
        <w:rPr/>
      </w:pPr>
      <w:r>
        <w:rPr/>
        <w:t>1. Micro-Saving Ideas</w:t>
      </w:r>
    </w:p>
    <w:p>
      <w:pPr>
        <w:pStyle w:val="Normal"/>
        <w:rPr/>
      </w:pPr>
      <w:r>
        <w:rPr/>
        <w:t>- Save all £1 or £2 coins in a jar</w:t>
        <w:br/>
        <w:t>- Transfer £1 every time you make a non-essential purchase (e.g. takeaways, snacks)</w:t>
        <w:br/>
        <w:t>- Round up purchases to the nearest pound and save the difference using your bank app</w:t>
        <w:br/>
        <w:t>- No-spend days: transfer what you would have spent to savings</w:t>
        <w:br/>
        <w:t>- Sell one unused item each week and save the proceeds</w:t>
      </w:r>
    </w:p>
    <w:p>
      <w:pPr>
        <w:pStyle w:val="Heading2"/>
        <w:rPr/>
      </w:pPr>
      <w:r>
        <w:rPr/>
        <w:t>2. Weekly Saving Targets</w:t>
      </w:r>
    </w:p>
    <w:p>
      <w:pPr>
        <w:pStyle w:val="Normal"/>
        <w:rPr/>
      </w:pPr>
      <w:r>
        <w:rPr/>
        <w:t>Start with small weekly targets and increase them gradually. Here's a simple plan to build savings over 4 weeks:</w:t>
        <w:br/>
        <w:t>Week 1: £3</w:t>
        <w:br/>
        <w:t>Week 2: £5</w:t>
        <w:br/>
        <w:t>Week 3: £7</w:t>
        <w:br/>
        <w:t>Week 4: £10</w:t>
        <w:br/>
        <w:t>Total: £25 in one month</w:t>
      </w:r>
    </w:p>
    <w:p>
      <w:pPr>
        <w:pStyle w:val="Heading2"/>
        <w:rPr/>
      </w:pPr>
      <w:r>
        <w:rPr/>
        <w:t>3. Savings Motivation Tips</w:t>
      </w:r>
    </w:p>
    <w:p>
      <w:pPr>
        <w:pStyle w:val="Normal"/>
        <w:rPr/>
      </w:pPr>
      <w:r>
        <w:rPr/>
        <w:t>- Give your savings pot a name and purpose (e.g. ‘Bill Buffer’ or ‘Emergency Cushion’)</w:t>
        <w:br/>
        <w:t>- Use visual trackers to monitor progress</w:t>
        <w:br/>
        <w:t>- Reward yourself for hitting milestones (with something free or low-cost)</w:t>
        <w:br/>
        <w:t>- Keep reminders of your savings goal somewhere visible</w:t>
      </w:r>
    </w:p>
    <w:p>
      <w:pPr>
        <w:pStyle w:val="Heading2"/>
        <w:rPr/>
      </w:pPr>
      <w:r>
        <w:rPr/>
        <w:t>4. Savings Habit Tracker</w:t>
      </w:r>
    </w:p>
    <w:p>
      <w:pPr>
        <w:pStyle w:val="Normal"/>
        <w:rPr/>
      </w:pPr>
      <w:r>
        <w:rPr/>
        <w:t>Tick off each day you saved something—even if it was just 50p. Small wins add up!</w:t>
        <w:br/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1439"/>
        <w:gridCol w:w="1441"/>
        <w:gridCol w:w="1440"/>
        <w:gridCol w:w="1439"/>
        <w:gridCol w:w="1441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4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5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6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7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8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10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11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12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13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14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16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17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18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19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20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22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23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24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25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26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28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29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Day 30</w:t>
            </w:r>
          </w:p>
        </w:tc>
      </w:tr>
    </w:tbl>
    <w:p>
      <w:pPr>
        <w:pStyle w:val="Normal"/>
        <w:widowControl/>
        <w:spacing w:lineRule="auto" w:line="240" w:before="0" w:after="0"/>
        <w:jc w:val="center"/>
        <w:rPr>
          <w:rFonts w:ascii="Cambria" w:hAnsi="Cambria" w:eastAsia="ＭＳ 明朝"/>
          <w:b/>
          <w:kern w:val="0"/>
          <w:sz w:val="22"/>
          <w:szCs w:val="22"/>
          <w:lang w:val="en-US" w:eastAsia="en-US" w:bidi="ar-SA"/>
        </w:rPr>
      </w:pPr>
      <w:r>
        <w:rPr>
          <w:rFonts w:eastAsia="ＭＳ 明朝"/>
          <w:b/>
          <w:kern w:val="0"/>
          <w:sz w:val="22"/>
          <w:szCs w:val="22"/>
          <w:lang w:val="en-US" w:eastAsia="en-US" w:bidi="ar-SA"/>
        </w:rPr>
        <w:t>Day 3</w:t>
      </w:r>
      <w:r>
        <w:rPr>
          <w:rFonts w:eastAsia="ＭＳ 明朝"/>
          <w:b/>
          <w:kern w:val="0"/>
          <w:sz w:val="22"/>
          <w:szCs w:val="22"/>
          <w:lang w:val="en-US" w:eastAsia="en-US" w:bidi="ar-SA"/>
        </w:rPr>
        <w:t>1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134" w:footer="567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get-month-ahead-of-bills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279</Words>
  <Characters>1174</Characters>
  <CharactersWithSpaces>1414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2025-06-14T15:03:46Z</dcterms:modified>
  <cp:revision>7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