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sz w:val="30"/>
          <w:szCs w:val="30"/>
        </w:rPr>
      </w:pPr>
      <w:r>
        <w:rPr>
          <w:sz w:val="30"/>
          <w:szCs w:val="30"/>
        </w:rPr>
        <w:t>Bill Prioritisation Checklist</w:t>
        <w:tab/>
        <w:tab/>
        <w:tab/>
        <w:tab/>
        <w:tab/>
      </w:r>
      <w:hyperlink r:id="rId2">
        <w:r>
          <w:rPr>
            <w:rStyle w:val="Hyperlink"/>
            <w:sz w:val="26"/>
            <w:szCs w:val="30"/>
          </w:rPr>
          <w:t>Full article here!</w:t>
        </w:r>
      </w:hyperlink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Use this checklist to organise and prioritise your bills based on urgency and consequences of non-payment. Start with Tier 1 (Essentials) and work your way through. Tick off each item once addressed or paid.</w:t>
      </w:r>
    </w:p>
    <w:p>
      <w:pPr>
        <w:pStyle w:val="Heading2"/>
        <w:rPr/>
      </w:pPr>
      <w:r>
        <w:rPr/>
        <w:t>Tier 1: Essential Survival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2040"/>
        <w:gridCol w:w="3720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Bill / Expense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Tick When Paid ✔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Rent or Mortgage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Council Tax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Gas &amp; Electricity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Water Bill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Basic Groceries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Tier 2: Priority Debts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2040"/>
        <w:gridCol w:w="3720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Bill / Expense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Tick When Paid ✔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Child Maintenance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Income Tax or Self-Assessment Arrears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Magistrates' Court Fines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TV Licence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Tier 3: Non-Priority Debts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2040"/>
        <w:gridCol w:w="3720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Bill / Expense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Tick When Paid ✔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Credit Cards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Personal Loans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Buy Now Pay Later Payments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Store Cards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Tier 4: Discretionary Spend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2040"/>
        <w:gridCol w:w="3720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Bill / Expense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Tick When Paid ✔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b/>
                <w:kern w:val="0"/>
                <w:sz w:val="22"/>
                <w:szCs w:val="22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Streaming Subscriptions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Gym Memberships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Takeaways and Eating Out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  <w:t>Entertainment and Non-Essentials</w:t>
            </w:r>
          </w:p>
        </w:tc>
        <w:tc>
          <w:tcPr>
            <w:tcW w:w="2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800" w:right="1800" w:gutter="0" w:header="0" w:top="1134" w:footer="567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dsavvy.uk/get-month-ahead-of-bills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LibreOffice/25.2.4.3$Windows_X86_64 LibreOffice_project/33e196637044ead23f5c3226cde09b47731f7e27</Application>
  <AppVersion>15.0000</AppVersion>
  <Pages>1</Pages>
  <Words>136</Words>
  <Characters>735</Characters>
  <CharactersWithSpaces>838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2025-06-14T15:02:02Z</dcterms:modified>
  <cp:revision>6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