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Frugal Mindset Starter Checklist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Get started with frugal living by ticking off these quick, simple wins.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Aim to complete one or two each day this week!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Review all active direct debits and cancel anything unused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Plan 5 budget-friendly meals for the week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Track every expense for one full day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Identify three non-essential items you can skip this week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Prepare a packed lunch or home-cooked meal instead of buying out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Switch off unused appliances at the wall overnight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Compare your broadband or energy deals to see if you could save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Have one no-spend day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Visit your local library or free event instead of paying for entertainment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✔ </w:t>
      </w:r>
      <w:r>
        <w:rPr>
          <w:sz w:val="28"/>
          <w:szCs w:val="28"/>
        </w:rPr>
        <w:t>Write down one financial goal and one action you’ll take toward it this week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br/>
        <w:t>Tick off what you can - small changes lead to big progress!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1</Pages>
  <Words>153</Words>
  <Characters>675</Characters>
  <CharactersWithSpaces>804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2025-05-30T15:58:14Z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