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28"/>
          <w:szCs w:val="28"/>
        </w:rPr>
      </w:pPr>
      <w:r>
        <w:rPr>
          <w:sz w:val="28"/>
          <w:szCs w:val="28"/>
        </w:rPr>
        <w:t>Half-Payment Method Quick Start Guide</w:t>
      </w:r>
    </w:p>
    <w:p>
      <w:pPr>
        <w:pStyle w:val="Normal"/>
        <w:rPr/>
      </w:pPr>
      <w:r>
        <w:rPr/>
        <w:t>Budgeting doesn’t have to feel overwhelming!</w:t>
        <w:br/>
        <w:t>Follow these simple steps to start using the Half-Payment Method and take back control of your money.</w:t>
      </w:r>
    </w:p>
    <w:p>
      <w:pPr>
        <w:pStyle w:val="Heading2"/>
        <w:rPr/>
      </w:pPr>
      <w:r>
        <w:rPr/>
        <w:t xml:space="preserve">🔷 </w:t>
      </w:r>
      <w:r>
        <w:rPr/>
        <w:t>What is the Half-Payment Method?</w:t>
      </w:r>
    </w:p>
    <w:p>
      <w:pPr>
        <w:pStyle w:val="Normal"/>
        <w:rPr/>
      </w:pPr>
      <w:r>
        <w:rPr/>
        <w:t>Split your regular bills in half and set aside a portion from each payday — so you’re always ready when the full bill is due.</w:t>
      </w:r>
    </w:p>
    <w:p>
      <w:pPr>
        <w:pStyle w:val="Normal"/>
        <w:rPr/>
      </w:pPr>
      <w:r>
        <w:rPr/>
        <w:t>Why it helps:</w:t>
      </w:r>
    </w:p>
    <w:p>
      <w:pPr>
        <w:pStyle w:val="Normal"/>
        <w:rPr/>
      </w:pPr>
      <w:r>
        <w:rPr/>
        <w:t>- Smooths out cash flow</w:t>
        <w:br/>
        <w:t>- Reduces financial panic</w:t>
        <w:br/>
        <w:t>- Works especially well if paid fortnightly or weekly</w:t>
      </w:r>
    </w:p>
    <w:p>
      <w:pPr>
        <w:pStyle w:val="Heading2"/>
        <w:rPr/>
      </w:pPr>
      <w:r>
        <w:rPr/>
        <w:t xml:space="preserve">🔷 </w:t>
      </w:r>
      <w:r>
        <w:rPr/>
        <w:t>5 Simple Steps to Get Started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05"/>
        <w:gridCol w:w="7335"/>
      </w:tblGrid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Step</w:t>
            </w:r>
          </w:p>
        </w:tc>
        <w:tc>
          <w:tcPr>
            <w:tcW w:w="733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Action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1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all your monthly bills (rent, utilities, Council Tax, etc.)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2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Divide each bill by 2 to find your half-payment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3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Match half-payments to your paydays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4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 the money into a bills-only account or pot</w:t>
            </w:r>
          </w:p>
        </w:tc>
      </w:tr>
      <w:tr>
        <w:trPr/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  <w:t>5</w:t>
            </w:r>
          </w:p>
        </w:tc>
        <w:tc>
          <w:tcPr>
            <w:tcW w:w="7335" w:type="dxa"/>
            <w:tcBorders/>
          </w:tcPr>
          <w:p>
            <w:pPr>
              <w:pStyle w:val="Normal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 bills on time using the saved amounts</w:t>
            </w:r>
          </w:p>
        </w:tc>
      </w:tr>
    </w:tbl>
    <w:p>
      <w:pPr>
        <w:pStyle w:val="Heading2"/>
        <w:rPr/>
      </w:pPr>
      <w:r>
        <w:rPr/>
        <w:t xml:space="preserve">🔷 </w:t>
      </w:r>
      <w:r>
        <w:rPr/>
        <w:t>Common Mistakes to Watch Out For</w:t>
      </w:r>
    </w:p>
    <w:p>
      <w:pPr>
        <w:pStyle w:val="Normal"/>
        <w:rPr/>
      </w:pPr>
      <w:r>
        <w:rPr/>
        <w:t xml:space="preserve">⚡ </w:t>
      </w:r>
      <w:r>
        <w:rPr/>
        <w:t>Avoid These Common Pitfalls:</w:t>
      </w:r>
    </w:p>
    <w:p>
      <w:pPr>
        <w:pStyle w:val="Normal"/>
        <w:rPr/>
      </w:pPr>
      <w:r>
        <w:rPr/>
        <w:t>- Don’t forget small regular bills like subscriptions!</w:t>
        <w:br/>
        <w:t>- Use a separate account to stop yourself spending half-payments.</w:t>
        <w:br/>
        <w:t>- Set reminders so you never miss a full bill payment date.</w:t>
      </w:r>
    </w:p>
    <w:p>
      <w:pPr>
        <w:pStyle w:val="Heading2"/>
        <w:rPr/>
      </w:pPr>
      <w:r>
        <w:rPr/>
        <w:t xml:space="preserve">🔷 </w:t>
      </w:r>
      <w:r>
        <w:rPr/>
        <w:t>Your First Month Challenge</w:t>
      </w:r>
    </w:p>
    <w:p>
      <w:pPr>
        <w:pStyle w:val="Normal"/>
        <w:rPr/>
      </w:pPr>
      <w:r>
        <w:rPr/>
        <w:t>Challenge yourself: Try the Half-Payment Method for just 30 days by splitting 2 or 3 major bills.</w:t>
        <w:br/>
        <w:t>Tick them off as you go and see how much calmer you feel by the end of the month!</w:t>
      </w:r>
    </w:p>
    <w:p>
      <w:pPr>
        <w:pStyle w:val="Heading2"/>
        <w:rPr/>
      </w:pPr>
      <w:r>
        <w:rPr/>
        <w:t xml:space="preserve">🔷 </w:t>
      </w:r>
      <w:r>
        <w:rPr/>
        <w:t>Need a Hand?</w:t>
      </w:r>
    </w:p>
    <w:p>
      <w:pPr>
        <w:pStyle w:val="Normal"/>
        <w:rPr/>
      </w:pPr>
      <w:r>
        <w:rPr/>
        <w:t>Use the Half-Payment Budget Planner to organise your bills easily.</w:t>
      </w:r>
    </w:p>
    <w:p>
      <w:pPr>
        <w:pStyle w:val="Normal"/>
        <w:rPr/>
      </w:pPr>
      <w:r>
        <w:rPr/>
        <w:t xml:space="preserve">Read the full article at </w:t>
      </w:r>
      <w:hyperlink r:id="rId2">
        <w:r>
          <w:rPr>
            <w:rStyle w:val="Hyperlink"/>
          </w:rPr>
          <w:t>What is the half payment method.</w:t>
        </w:r>
      </w:hyperlink>
      <w:r>
        <w:rPr/>
        <w:br/>
        <w:t>Find more free money help at QuidSavvy.uk.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i/>
        </w:rPr>
        <w:t>You've got this. One half-payment at a time!</w:t>
      </w:r>
    </w:p>
    <w:sectPr>
      <w:footerReference w:type="default" r:id="rId3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half-payment-method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258</Words>
  <Characters>1195</Characters>
  <CharactersWithSpaces>1425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2025-04-27T18:59:38Z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